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spacing w:lineRule="atLeast" w:line="405" w:before="0" w:after="0"/>
        <w:ind w:left="0" w:right="0" w:hanging="0"/>
        <w:rPr/>
      </w:pPr>
      <w:bookmarkStart w:id="0" w:name="__DdeLink__1138_4143885803"/>
      <w:r>
        <w:rPr>
          <w:rStyle w:val="StrongEmphasis"/>
          <w:rFonts w:ascii="Arial;Helvetica;sans-serif" w:hAnsi="Arial;Helvetica;sans-serif"/>
          <w:b w:val="false"/>
          <w:i w:val="false"/>
          <w:caps w:val="false"/>
          <w:smallCaps w:val="false"/>
          <w:color w:val="4F4F4F"/>
          <w:spacing w:val="0"/>
          <w:sz w:val="21"/>
        </w:rPr>
        <w:t>Memorandum of Understanding</w:t>
      </w:r>
      <w:r>
        <w:rPr>
          <w:rFonts w:ascii="Arial;Helvetica;sans-serif" w:hAnsi="Arial;Helvetica;sans-serif"/>
          <w:b w:val="false"/>
          <w:i w:val="false"/>
          <w:caps w:val="false"/>
          <w:smallCaps w:val="false"/>
          <w:color w:val="4F4F4F"/>
          <w:spacing w:val="0"/>
          <w:sz w:val="21"/>
        </w:rPr>
        <w:t> </w:t>
      </w:r>
      <w:bookmarkEnd w:id="0"/>
      <w:r>
        <w:rPr>
          <w:rStyle w:val="StrongEmphasis"/>
          <w:rFonts w:ascii="Arial;Helvetica;sans-serif" w:hAnsi="Arial;Helvetica;sans-serif"/>
          <w:b w:val="false"/>
          <w:i w:val="false"/>
          <w:caps w:val="false"/>
          <w:smallCaps w:val="false"/>
          <w:color w:val="4F4F4F"/>
          <w:spacing w:val="0"/>
          <w:sz w:val="21"/>
        </w:rPr>
        <w:t>between the Office of the Pensions Ombudsman and the Revenue Commissioners on Exchange of Information</w:t>
      </w:r>
    </w:p>
    <w:p>
      <w:pPr>
        <w:sectPr>
          <w:type w:val="nextPage"/>
          <w:pgSz w:w="11906" w:h="16838"/>
          <w:pgMar w:left="1134" w:right="1134" w:header="0" w:top="1134" w:footer="0" w:bottom="1134" w:gutter="0"/>
          <w:pgNumType w:fmt="decimal"/>
          <w:formProt w:val="false"/>
          <w:textDirection w:val="lrTb"/>
        </w:sectPr>
      </w:pPr>
    </w:p>
    <w:p>
      <w:pPr>
        <w:pStyle w:val="TextBody"/>
        <w:widowControl/>
        <w:spacing w:lineRule="atLeast" w:line="405" w:before="0" w:after="0"/>
        <w:ind w:left="0" w:right="0" w:hanging="0"/>
        <w:rPr/>
      </w:pPr>
      <w:r>
        <w:rPr>
          <w:rStyle w:val="StrongEmphasis"/>
          <w:caps w:val="false"/>
          <w:smallCaps w:val="false"/>
          <w:color w:val="4F4F4F"/>
          <w:spacing w:val="0"/>
        </w:rPr>
        <w:t> </w:t>
      </w:r>
      <w:r>
        <w:rPr>
          <w:rStyle w:val="StrongEmphasis"/>
          <w:rFonts w:ascii="Arial;Helvetica;sans-serif" w:hAnsi="Arial;Helvetica;sans-serif"/>
          <w:b w:val="false"/>
          <w:i w:val="false"/>
          <w:caps w:val="false"/>
          <w:smallCaps w:val="false"/>
          <w:color w:val="4F4F4F"/>
          <w:spacing w:val="0"/>
          <w:sz w:val="21"/>
        </w:rPr>
        <w:t>Part A: Exchange of information/legislative basis</w:t>
      </w:r>
    </w:p>
    <w:p>
      <w:pPr>
        <w:pStyle w:val="TextBody"/>
        <w:widowControl/>
        <w:numPr>
          <w:ilvl w:val="0"/>
          <w:numId w:val="1"/>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The Office of the Pensions Ombudsman and the Revenue Commissioners agree to the exchange of information as permitted by law and in accordance with the terms of this Memorandum of Understanding.</w:t>
      </w:r>
    </w:p>
    <w:p>
      <w:pPr>
        <w:pStyle w:val="TextBody"/>
        <w:widowControl/>
        <w:numPr>
          <w:ilvl w:val="0"/>
          <w:numId w:val="1"/>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The exchange of information shall be in accordance with Section 4(1) of the Pensions Act 1990 as substituted by Section 29(1) (c) of the Social Welfare &amp; Pensions Act 2008.</w:t>
      </w:r>
    </w:p>
    <w:p>
      <w:pPr>
        <w:pStyle w:val="TextBody"/>
        <w:widowControl/>
        <w:pBdr/>
        <w:spacing w:lineRule="atLeast" w:line="405" w:before="0" w:after="0"/>
        <w:ind w:left="0" w:right="0" w:hanging="0"/>
        <w:rPr/>
      </w:pPr>
      <w:r>
        <w:rPr>
          <w:caps w:val="false"/>
          <w:smallCaps w:val="false"/>
          <w:color w:val="4F4F4F"/>
          <w:spacing w:val="0"/>
        </w:rPr>
        <w:t> </w:t>
      </w:r>
      <w:r>
        <w:rPr>
          <w:rStyle w:val="StrongEmphasis"/>
          <w:rFonts w:ascii="Arial;Helvetica;sans-serif" w:hAnsi="Arial;Helvetica;sans-serif"/>
          <w:b w:val="false"/>
          <w:i w:val="false"/>
          <w:caps w:val="false"/>
          <w:smallCaps w:val="false"/>
          <w:color w:val="4F4F4F"/>
          <w:spacing w:val="0"/>
          <w:sz w:val="21"/>
        </w:rPr>
        <w:t>Part B: Exchange of Information</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Any Request for information shall be made in writing in the agreed manner and through the designated liaison officers of the Office of the Pensions Ombudsman and the Revenue Commissioners.</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Each individual request will incorporate a short summary of the reasons for the request and the information required.</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In general, the requested authority will comply with the request for information within one month of the request. If this is not possible, the contracting authorities will agree prior to the expiry of one month, an alternative date by which the information will be made available.</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The information requested will be provided as far as possible in a format and in a medium appropriate to the requirements of the requesting authority.</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Subject to the provisions of the Freedom of Information legislation, the requesting authority will not disclose to a third party any information which it has received from the requested authority without the prior approval of the latter.</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Any requests for information required urgently must be marked accordingly.</w:t>
      </w:r>
    </w:p>
    <w:p>
      <w:pPr>
        <w:pStyle w:val="TextBody"/>
        <w:widowControl/>
        <w:numPr>
          <w:ilvl w:val="0"/>
          <w:numId w:val="2"/>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Each authority will bear its own costs, fees and expenses in complying with a request from the other authority.</w:t>
      </w:r>
    </w:p>
    <w:p>
      <w:pPr>
        <w:pStyle w:val="TextBody"/>
        <w:widowControl/>
        <w:spacing w:lineRule="atLeast" w:line="405" w:before="0" w:after="0"/>
        <w:ind w:left="0" w:right="0" w:hanging="0"/>
        <w:rPr/>
      </w:pPr>
      <w:r>
        <w:rPr>
          <w:rStyle w:val="StrongEmphasis"/>
          <w:rFonts w:ascii="Arial;Helvetica;sans-serif" w:hAnsi="Arial;Helvetica;sans-serif"/>
          <w:b w:val="false"/>
          <w:i w:val="false"/>
          <w:caps w:val="false"/>
          <w:smallCaps w:val="false"/>
          <w:color w:val="4F4F4F"/>
          <w:spacing w:val="0"/>
          <w:sz w:val="21"/>
        </w:rPr>
        <w:t>Part C: Voluntary Disclosure of Information</w:t>
      </w:r>
    </w:p>
    <w:p>
      <w:pPr>
        <w:pStyle w:val="TextBody"/>
        <w:widowControl/>
        <w:spacing w:lineRule="atLeast" w:line="405" w:before="0" w:after="0"/>
        <w:ind w:left="0" w:right="0" w:hanging="0"/>
        <w:rPr>
          <w:caps w:val="false"/>
          <w:smallCaps w:val="false"/>
          <w:color w:val="4F4F4F"/>
          <w:spacing w:val="0"/>
        </w:rPr>
      </w:pPr>
      <w:r>
        <w:rPr>
          <w:caps w:val="false"/>
          <w:smallCaps w:val="false"/>
          <w:color w:val="4F4F4F"/>
          <w:spacing w:val="0"/>
        </w:rPr>
        <w:t> </w:t>
      </w:r>
    </w:p>
    <w:p>
      <w:pPr>
        <w:pStyle w:val="TextBody"/>
        <w:widowControl/>
        <w:numPr>
          <w:ilvl w:val="0"/>
          <w:numId w:val="3"/>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Where information comes to the attention of either authority which suggests the commission of an offence under the Tax Acts or the Pensions Acts, that authority shall provide the information concerned to the other authority on a voluntary basis, without prior request.</w:t>
      </w:r>
    </w:p>
    <w:p>
      <w:pPr>
        <w:pStyle w:val="TextBody"/>
        <w:widowControl/>
        <w:numPr>
          <w:ilvl w:val="0"/>
          <w:numId w:val="3"/>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Where the Pensions Ombudsman has reason to believe that a breach of the Code of Practice outlined in the Revenue Pensions Manual has taken place or may be about to take place, he shall immediately notify the Revenue Commissioners.</w:t>
      </w:r>
    </w:p>
    <w:p>
      <w:pPr>
        <w:pStyle w:val="TextBody"/>
        <w:widowControl/>
        <w:numPr>
          <w:ilvl w:val="0"/>
          <w:numId w:val="3"/>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Each authority shall exchange on a voluntary basis and without prior request information relevant to their respective functions on general developments in the pensions industry, including the emergence of new products and possible avoidance schemes.</w:t>
      </w:r>
    </w:p>
    <w:p>
      <w:pPr>
        <w:pStyle w:val="TextBody"/>
        <w:widowControl/>
        <w:spacing w:lineRule="atLeast" w:line="405" w:before="0" w:after="0"/>
        <w:ind w:left="0" w:right="0" w:hanging="0"/>
        <w:rPr/>
      </w:pPr>
      <w:r>
        <w:rPr>
          <w:rStyle w:val="StrongEmphasis"/>
          <w:rFonts w:ascii="Arial;Helvetica;sans-serif" w:hAnsi="Arial;Helvetica;sans-serif"/>
          <w:b w:val="false"/>
          <w:i w:val="false"/>
          <w:caps w:val="false"/>
          <w:smallCaps w:val="false"/>
          <w:color w:val="4F4F4F"/>
          <w:spacing w:val="0"/>
          <w:sz w:val="21"/>
        </w:rPr>
        <w:t>Part D: General</w:t>
      </w:r>
    </w:p>
    <w:p>
      <w:pPr>
        <w:pStyle w:val="TextBody"/>
        <w:widowControl/>
        <w:spacing w:lineRule="atLeast" w:line="405" w:before="0" w:after="0"/>
        <w:ind w:left="0" w:right="0" w:hanging="0"/>
        <w:rPr>
          <w:caps w:val="false"/>
          <w:smallCaps w:val="false"/>
          <w:color w:val="4F4F4F"/>
          <w:spacing w:val="0"/>
        </w:rPr>
      </w:pPr>
      <w:r>
        <w:rPr>
          <w:caps w:val="false"/>
          <w:smallCaps w:val="false"/>
          <w:color w:val="4F4F4F"/>
          <w:spacing w:val="0"/>
        </w:rPr>
        <w:t> </w:t>
      </w:r>
    </w:p>
    <w:p>
      <w:pPr>
        <w:pStyle w:val="TextBody"/>
        <w:widowControl/>
        <w:numPr>
          <w:ilvl w:val="0"/>
          <w:numId w:val="4"/>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This Memorandum will be reviewed periodically, at maximum intervals of two years, or exceptionally at any time at the written request of either authority.</w:t>
      </w:r>
    </w:p>
    <w:p>
      <w:pPr>
        <w:pStyle w:val="TextBody"/>
        <w:widowControl/>
        <w:numPr>
          <w:ilvl w:val="0"/>
          <w:numId w:val="4"/>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Any provision of this Memorandum may be changed, modified or extended by mutual agreement and any such change will be documented as part of this Memorandum and replace the relevant existing provision.</w:t>
      </w:r>
    </w:p>
    <w:p>
      <w:pPr>
        <w:pStyle w:val="TextBody"/>
        <w:widowControl/>
        <w:numPr>
          <w:ilvl w:val="0"/>
          <w:numId w:val="4"/>
        </w:numPr>
        <w:pBdr/>
        <w:tabs>
          <w:tab w:val="left" w:pos="0" w:leader="none"/>
        </w:tabs>
        <w:spacing w:lineRule="atLeast" w:line="405" w:before="0" w:after="0"/>
        <w:ind w:left="0" w:right="0" w:hanging="283"/>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The provisions of this Memorandum shall come into effect on the date of signature.</w:t>
      </w:r>
    </w:p>
    <w:p>
      <w:pPr>
        <w:pStyle w:val="TextBody"/>
        <w:widowControl/>
        <w:spacing w:lineRule="atLeast" w:line="405" w:before="0" w:after="0"/>
        <w:ind w:left="0" w:right="0" w:hanging="0"/>
        <w:rPr/>
      </w:pPr>
      <w:r>
        <w:rPr>
          <w:rStyle w:val="StrongEmphasis"/>
          <w:caps w:val="false"/>
          <w:smallCaps w:val="false"/>
          <w:color w:val="4F4F4F"/>
          <w:spacing w:val="0"/>
        </w:rPr>
        <w:t> </w:t>
      </w:r>
      <w:r>
        <w:rPr>
          <w:rStyle w:val="StrongEmphasis"/>
          <w:rFonts w:ascii="Arial;Helvetica;sans-serif" w:hAnsi="Arial;Helvetica;sans-serif"/>
          <w:b w:val="false"/>
          <w:i w:val="false"/>
          <w:caps w:val="false"/>
          <w:smallCaps w:val="false"/>
          <w:color w:val="4F4F4F"/>
          <w:spacing w:val="0"/>
          <w:sz w:val="21"/>
        </w:rPr>
        <w:t>COUNTERPARTS</w:t>
      </w:r>
    </w:p>
    <w:p>
      <w:pPr>
        <w:pStyle w:val="TextBody"/>
        <w:widowControl/>
        <w:spacing w:lineRule="atLeast" w:line="405" w:before="0" w:after="0"/>
        <w:ind w:left="0" w:right="0" w:hanging="0"/>
        <w:rPr>
          <w:rFonts w:ascii="Arial;Helvetica;sans-serif" w:hAnsi="Arial;Helvetica;sans-serif"/>
          <w:b w:val="false"/>
          <w:i w:val="false"/>
          <w:caps w:val="false"/>
          <w:smallCaps w:val="false"/>
          <w:color w:val="4F4F4F"/>
          <w:spacing w:val="0"/>
          <w:sz w:val="21"/>
        </w:rPr>
      </w:pPr>
      <w:r>
        <w:rPr>
          <w:rFonts w:ascii="Arial;Helvetica;sans-serif" w:hAnsi="Arial;Helvetica;sans-serif"/>
          <w:b w:val="false"/>
          <w:i w:val="false"/>
          <w:caps w:val="false"/>
          <w:smallCaps w:val="false"/>
          <w:color w:val="4F4F4F"/>
          <w:spacing w:val="0"/>
          <w:sz w:val="21"/>
        </w:rPr>
        <w:t>This Memorandum shall be signed in duplicate by the parties hereto on separate memoranda each which, when signed, shall constitute an original, both such memoranda together constituting but o ne and the same instrument. In witness of our agreement as herein set out and completed this 2nd day of March 2009.</w:t>
      </w:r>
    </w:p>
    <w:p>
      <w:pPr>
        <w:pStyle w:val="TextBody"/>
        <w:widowControl/>
        <w:spacing w:lineRule="atLeast" w:line="405" w:before="0" w:after="0"/>
        <w:ind w:left="0" w:right="0" w:hanging="0"/>
        <w:rPr>
          <w:caps w:val="false"/>
          <w:smallCaps w:val="false"/>
          <w:color w:val="4F4F4F"/>
          <w:spacing w:val="0"/>
        </w:rPr>
      </w:pPr>
      <w:r>
        <w:rPr>
          <w:caps w:val="false"/>
          <w:smallCaps w:val="false"/>
          <w:color w:val="4F4F4F"/>
          <w:spacing w:val="0"/>
        </w:rPr>
        <w:t> </w:t>
      </w:r>
    </w:p>
    <w:tbl>
      <w:tblPr>
        <w:tblW w:w="8880" w:type="dxa"/>
        <w:jc w:val="left"/>
        <w:tblInd w:w="0" w:type="dxa"/>
        <w:tblBorders/>
        <w:tblCellMar>
          <w:top w:w="0" w:type="dxa"/>
          <w:left w:w="0" w:type="dxa"/>
          <w:bottom w:w="0" w:type="dxa"/>
          <w:right w:w="0" w:type="dxa"/>
        </w:tblCellMar>
      </w:tblPr>
      <w:tblGrid>
        <w:gridCol w:w="4440"/>
        <w:gridCol w:w="4440"/>
      </w:tblGrid>
      <w:tr>
        <w:trPr/>
        <w:tc>
          <w:tcPr>
            <w:tcW w:w="4440" w:type="dxa"/>
            <w:tcBorders/>
            <w:shd w:fill="auto" w:val="clear"/>
          </w:tcPr>
          <w:p>
            <w:pPr>
              <w:pStyle w:val="TableContents"/>
              <w:spacing w:lineRule="atLeast" w:line="405" w:before="0" w:after="0"/>
              <w:ind w:left="0" w:right="0" w:hanging="0"/>
              <w:rPr>
                <w:rFonts w:ascii="Arial;Helvetica;sans-serif" w:hAnsi="Arial;Helvetica;sans-serif"/>
                <w:color w:val="4F4F4F"/>
                <w:sz w:val="21"/>
              </w:rPr>
            </w:pPr>
            <w:r>
              <w:rPr>
                <w:rFonts w:ascii="Arial;Helvetica;sans-serif" w:hAnsi="Arial;Helvetica;sans-serif"/>
                <w:color w:val="4F4F4F"/>
                <w:sz w:val="21"/>
              </w:rPr>
              <w:t>Signed on behalf of the Office of the Pensions Ombudsman:</w:t>
            </w:r>
          </w:p>
          <w:p>
            <w:pPr>
              <w:pStyle w:val="TableContents"/>
              <w:spacing w:lineRule="atLeast" w:line="405" w:before="0" w:after="0"/>
              <w:ind w:left="0" w:right="0" w:hanging="0"/>
              <w:rPr>
                <w:color w:val="494949"/>
              </w:rPr>
            </w:pPr>
            <w:r>
              <w:rPr>
                <w:color w:val="4F4F4F"/>
              </w:rPr>
              <w:t> </w:t>
            </w:r>
          </w:p>
        </w:tc>
        <w:tc>
          <w:tcPr>
            <w:tcW w:w="4440" w:type="dxa"/>
            <w:tcBorders/>
            <w:shd w:fill="auto" w:val="clear"/>
          </w:tcPr>
          <w:p>
            <w:pPr>
              <w:pStyle w:val="TableContents"/>
              <w:spacing w:lineRule="atLeast" w:line="405" w:before="0" w:after="0"/>
              <w:ind w:left="0" w:right="0" w:hanging="0"/>
              <w:rPr>
                <w:color w:val="494949"/>
              </w:rPr>
            </w:pPr>
            <w:r>
              <w:rPr>
                <w:rFonts w:ascii="Arial;Helvetica;sans-serif" w:hAnsi="Arial;Helvetica;sans-serif"/>
                <w:color w:val="4F4F4F"/>
                <w:sz w:val="21"/>
              </w:rPr>
              <w:t>Signed on behalf of the Revenue Commissioners:</w:t>
            </w:r>
          </w:p>
        </w:tc>
      </w:tr>
      <w:tr>
        <w:trPr/>
        <w:tc>
          <w:tcPr>
            <w:tcW w:w="4440" w:type="dxa"/>
            <w:tcBorders/>
            <w:shd w:fill="auto" w:val="clear"/>
          </w:tcPr>
          <w:p>
            <w:pPr>
              <w:pStyle w:val="TableContents"/>
              <w:spacing w:lineRule="atLeast" w:line="405" w:before="0" w:after="0"/>
              <w:ind w:left="0" w:right="0" w:hanging="0"/>
              <w:rPr>
                <w:color w:val="494949"/>
              </w:rPr>
            </w:pPr>
            <w:r>
              <w:rPr>
                <w:color w:val="4F4F4F"/>
              </w:rPr>
              <w:t> </w:t>
            </w:r>
          </w:p>
        </w:tc>
        <w:tc>
          <w:tcPr>
            <w:tcW w:w="4440" w:type="dxa"/>
            <w:tcBorders/>
            <w:shd w:fill="auto" w:val="clear"/>
          </w:tcPr>
          <w:p>
            <w:pPr>
              <w:pStyle w:val="TableContents"/>
              <w:spacing w:lineRule="atLeast" w:line="405" w:before="0" w:after="0"/>
              <w:ind w:left="0" w:right="0" w:hanging="0"/>
              <w:rPr>
                <w:color w:val="4F4F4F"/>
              </w:rPr>
            </w:pPr>
            <w:r>
              <w:rPr>
                <w:color w:val="4F4F4F"/>
              </w:rPr>
              <w:t> </w:t>
            </w:r>
          </w:p>
          <w:p>
            <w:pPr>
              <w:pStyle w:val="TableContents"/>
              <w:spacing w:lineRule="atLeast" w:line="405" w:before="0" w:after="0"/>
              <w:ind w:left="0" w:right="0" w:hanging="0"/>
              <w:rPr>
                <w:color w:val="494949"/>
              </w:rPr>
            </w:pPr>
            <w:r>
              <w:rPr>
                <w:color w:val="4F4F4F"/>
              </w:rPr>
              <w:t> </w:t>
            </w:r>
          </w:p>
        </w:tc>
      </w:tr>
      <w:tr>
        <w:trPr/>
        <w:tc>
          <w:tcPr>
            <w:tcW w:w="4440" w:type="dxa"/>
            <w:tcBorders/>
            <w:shd w:fill="auto" w:val="clear"/>
          </w:tcPr>
          <w:p>
            <w:pPr>
              <w:pStyle w:val="TableContents"/>
              <w:spacing w:lineRule="atLeast" w:line="405" w:before="0" w:after="0"/>
              <w:ind w:left="0" w:right="0" w:hanging="0"/>
              <w:rPr>
                <w:rFonts w:ascii="Arial;Helvetica;sans-serif" w:hAnsi="Arial;Helvetica;sans-serif"/>
                <w:color w:val="4F4F4F"/>
                <w:sz w:val="21"/>
              </w:rPr>
            </w:pPr>
            <w:r>
              <w:rPr>
                <w:rFonts w:ascii="Arial;Helvetica;sans-serif" w:hAnsi="Arial;Helvetica;sans-serif"/>
                <w:color w:val="4F4F4F"/>
                <w:sz w:val="21"/>
              </w:rPr>
              <w:t>Paul Kenny</w:t>
            </w:r>
          </w:p>
          <w:p>
            <w:pPr>
              <w:pStyle w:val="TableContents"/>
              <w:spacing w:lineRule="atLeast" w:line="405" w:before="0" w:after="0"/>
              <w:ind w:left="0" w:right="0" w:hanging="0"/>
              <w:rPr>
                <w:color w:val="494949"/>
              </w:rPr>
            </w:pPr>
            <w:r>
              <w:rPr>
                <w:rFonts w:ascii="Arial;Helvetica;sans-serif" w:hAnsi="Arial;Helvetica;sans-serif"/>
                <w:color w:val="4F4F4F"/>
                <w:sz w:val="21"/>
              </w:rPr>
              <w:t>Pensions Ombudsman</w:t>
            </w:r>
          </w:p>
        </w:tc>
        <w:tc>
          <w:tcPr>
            <w:tcW w:w="4440" w:type="dxa"/>
            <w:tcBorders/>
            <w:shd w:fill="auto" w:val="clear"/>
          </w:tcPr>
          <w:p>
            <w:pPr>
              <w:pStyle w:val="TableContents"/>
              <w:spacing w:lineRule="atLeast" w:line="405" w:before="0" w:after="0"/>
              <w:ind w:left="0" w:right="0" w:hanging="0"/>
              <w:rPr>
                <w:rFonts w:ascii="Arial;Helvetica;sans-serif" w:hAnsi="Arial;Helvetica;sans-serif"/>
                <w:color w:val="4F4F4F"/>
                <w:sz w:val="21"/>
              </w:rPr>
            </w:pPr>
            <w:r>
              <w:rPr>
                <w:rFonts w:ascii="Arial;Helvetica;sans-serif" w:hAnsi="Arial;Helvetica;sans-serif"/>
                <w:color w:val="4F4F4F"/>
                <w:sz w:val="21"/>
              </w:rPr>
              <w:t>Josephine Feehily</w:t>
            </w:r>
          </w:p>
          <w:p>
            <w:pPr>
              <w:pStyle w:val="TableContents"/>
              <w:spacing w:lineRule="atLeast" w:line="405" w:before="0" w:after="0"/>
              <w:ind w:left="0" w:right="0" w:hanging="0"/>
              <w:rPr>
                <w:color w:val="494949"/>
              </w:rPr>
            </w:pPr>
            <w:r>
              <w:rPr>
                <w:rFonts w:ascii="Arial;Helvetica;sans-serif" w:hAnsi="Arial;Helvetica;sans-serif"/>
                <w:color w:val="4F4F4F"/>
                <w:sz w:val="21"/>
              </w:rPr>
              <w:t>Chairman</w:t>
            </w:r>
          </w:p>
        </w:tc>
      </w:tr>
    </w:tbl>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0" w:hanging="283"/>
      </w:pPr>
      <w:rPr/>
    </w:lvl>
    <w:lvl w:ilvl="1">
      <w:start w:val="1"/>
      <w:numFmt w:val="upperRoman"/>
      <w:lvlText w:val="%2."/>
      <w:lvlJc w:val="left"/>
      <w:pPr>
        <w:tabs>
          <w:tab w:val="num" w:pos="1414"/>
        </w:tabs>
        <w:ind w:left="1414" w:hanging="283"/>
      </w:pPr>
      <w:rPr/>
    </w:lvl>
    <w:lvl w:ilvl="2">
      <w:start w:val="1"/>
      <w:numFmt w:val="upperRoman"/>
      <w:lvlText w:val="%3."/>
      <w:lvlJc w:val="left"/>
      <w:pPr>
        <w:tabs>
          <w:tab w:val="num" w:pos="2121"/>
        </w:tabs>
        <w:ind w:left="2121" w:hanging="283"/>
      </w:pPr>
      <w:rPr/>
    </w:lvl>
    <w:lvl w:ilvl="3">
      <w:start w:val="1"/>
      <w:numFmt w:val="upperRoman"/>
      <w:lvlText w:val="%4."/>
      <w:lvlJc w:val="left"/>
      <w:pPr>
        <w:tabs>
          <w:tab w:val="num" w:pos="2828"/>
        </w:tabs>
        <w:ind w:left="2828" w:hanging="283"/>
      </w:pPr>
      <w:rPr/>
    </w:lvl>
    <w:lvl w:ilvl="4">
      <w:start w:val="1"/>
      <w:numFmt w:val="upperRoman"/>
      <w:lvlText w:val="%5."/>
      <w:lvlJc w:val="left"/>
      <w:pPr>
        <w:tabs>
          <w:tab w:val="num" w:pos="3535"/>
        </w:tabs>
        <w:ind w:left="3535" w:hanging="283"/>
      </w:pPr>
      <w:rPr/>
    </w:lvl>
    <w:lvl w:ilvl="5">
      <w:start w:val="1"/>
      <w:numFmt w:val="upperRoman"/>
      <w:lvlText w:val="%6."/>
      <w:lvlJc w:val="left"/>
      <w:pPr>
        <w:tabs>
          <w:tab w:val="num" w:pos="4242"/>
        </w:tabs>
        <w:ind w:left="4242" w:hanging="283"/>
      </w:pPr>
      <w:rPr/>
    </w:lvl>
    <w:lvl w:ilvl="6">
      <w:start w:val="1"/>
      <w:numFmt w:val="upperRoman"/>
      <w:lvlText w:val="%7."/>
      <w:lvlJc w:val="left"/>
      <w:pPr>
        <w:tabs>
          <w:tab w:val="num" w:pos="4949"/>
        </w:tabs>
        <w:ind w:left="4949" w:hanging="283"/>
      </w:pPr>
      <w:rPr/>
    </w:lvl>
    <w:lvl w:ilvl="7">
      <w:start w:val="1"/>
      <w:numFmt w:val="upperRoman"/>
      <w:lvlText w:val="%8."/>
      <w:lvlJc w:val="left"/>
      <w:pPr>
        <w:tabs>
          <w:tab w:val="num" w:pos="5656"/>
        </w:tabs>
        <w:ind w:left="5656" w:hanging="283"/>
      </w:pPr>
      <w:rPr/>
    </w:lvl>
    <w:lvl w:ilvl="8">
      <w:start w:val="1"/>
      <w:numFmt w:val="upperRoman"/>
      <w:lvlText w:val="%9."/>
      <w:lvlJc w:val="left"/>
      <w:pPr>
        <w:tabs>
          <w:tab w:val="num" w:pos="6363"/>
        </w:tabs>
        <w:ind w:left="6363" w:hanging="283"/>
      </w:pPr>
      <w:rPr/>
    </w:lvl>
  </w:abstractNum>
  <w:abstractNum w:abstractNumId="2">
    <w:lvl w:ilvl="0">
      <w:start w:val="1"/>
      <w:numFmt w:val="upperRoman"/>
      <w:lvlText w:val="%1."/>
      <w:lvlJc w:val="left"/>
      <w:pPr>
        <w:ind w:left="0" w:hanging="283"/>
      </w:pPr>
      <w:rPr/>
    </w:lvl>
    <w:lvl w:ilvl="1">
      <w:start w:val="1"/>
      <w:numFmt w:val="upperRoman"/>
      <w:lvlText w:val="%2."/>
      <w:lvlJc w:val="left"/>
      <w:pPr>
        <w:tabs>
          <w:tab w:val="num" w:pos="1414"/>
        </w:tabs>
        <w:ind w:left="1414" w:hanging="283"/>
      </w:pPr>
      <w:rPr/>
    </w:lvl>
    <w:lvl w:ilvl="2">
      <w:start w:val="1"/>
      <w:numFmt w:val="upperRoman"/>
      <w:lvlText w:val="%3."/>
      <w:lvlJc w:val="left"/>
      <w:pPr>
        <w:tabs>
          <w:tab w:val="num" w:pos="2121"/>
        </w:tabs>
        <w:ind w:left="2121" w:hanging="283"/>
      </w:pPr>
      <w:rPr/>
    </w:lvl>
    <w:lvl w:ilvl="3">
      <w:start w:val="1"/>
      <w:numFmt w:val="upperRoman"/>
      <w:lvlText w:val="%4."/>
      <w:lvlJc w:val="left"/>
      <w:pPr>
        <w:tabs>
          <w:tab w:val="num" w:pos="2828"/>
        </w:tabs>
        <w:ind w:left="2828" w:hanging="283"/>
      </w:pPr>
      <w:rPr/>
    </w:lvl>
    <w:lvl w:ilvl="4">
      <w:start w:val="1"/>
      <w:numFmt w:val="upperRoman"/>
      <w:lvlText w:val="%5."/>
      <w:lvlJc w:val="left"/>
      <w:pPr>
        <w:tabs>
          <w:tab w:val="num" w:pos="3535"/>
        </w:tabs>
        <w:ind w:left="3535" w:hanging="283"/>
      </w:pPr>
      <w:rPr/>
    </w:lvl>
    <w:lvl w:ilvl="5">
      <w:start w:val="1"/>
      <w:numFmt w:val="upperRoman"/>
      <w:lvlText w:val="%6."/>
      <w:lvlJc w:val="left"/>
      <w:pPr>
        <w:tabs>
          <w:tab w:val="num" w:pos="4242"/>
        </w:tabs>
        <w:ind w:left="4242" w:hanging="283"/>
      </w:pPr>
      <w:rPr/>
    </w:lvl>
    <w:lvl w:ilvl="6">
      <w:start w:val="1"/>
      <w:numFmt w:val="upperRoman"/>
      <w:lvlText w:val="%7."/>
      <w:lvlJc w:val="left"/>
      <w:pPr>
        <w:tabs>
          <w:tab w:val="num" w:pos="4949"/>
        </w:tabs>
        <w:ind w:left="4949" w:hanging="283"/>
      </w:pPr>
      <w:rPr/>
    </w:lvl>
    <w:lvl w:ilvl="7">
      <w:start w:val="1"/>
      <w:numFmt w:val="upperRoman"/>
      <w:lvlText w:val="%8."/>
      <w:lvlJc w:val="left"/>
      <w:pPr>
        <w:tabs>
          <w:tab w:val="num" w:pos="5656"/>
        </w:tabs>
        <w:ind w:left="5656" w:hanging="283"/>
      </w:pPr>
      <w:rPr/>
    </w:lvl>
    <w:lvl w:ilvl="8">
      <w:start w:val="1"/>
      <w:numFmt w:val="upperRoman"/>
      <w:lvlText w:val="%9."/>
      <w:lvlJc w:val="left"/>
      <w:pPr>
        <w:tabs>
          <w:tab w:val="num" w:pos="6363"/>
        </w:tabs>
        <w:ind w:left="6363" w:hanging="283"/>
      </w:pPr>
      <w:rPr/>
    </w:lvl>
  </w:abstractNum>
  <w:abstractNum w:abstractNumId="3">
    <w:lvl w:ilvl="0">
      <w:start w:val="1"/>
      <w:numFmt w:val="upperRoman"/>
      <w:lvlText w:val="%1."/>
      <w:lvlJc w:val="left"/>
      <w:pPr>
        <w:ind w:left="0" w:hanging="283"/>
      </w:pPr>
      <w:rPr/>
    </w:lvl>
    <w:lvl w:ilvl="1">
      <w:start w:val="1"/>
      <w:numFmt w:val="upperRoman"/>
      <w:lvlText w:val="%2."/>
      <w:lvlJc w:val="left"/>
      <w:pPr>
        <w:tabs>
          <w:tab w:val="num" w:pos="1414"/>
        </w:tabs>
        <w:ind w:left="1414" w:hanging="283"/>
      </w:pPr>
      <w:rPr/>
    </w:lvl>
    <w:lvl w:ilvl="2">
      <w:start w:val="1"/>
      <w:numFmt w:val="upperRoman"/>
      <w:lvlText w:val="%3."/>
      <w:lvlJc w:val="left"/>
      <w:pPr>
        <w:tabs>
          <w:tab w:val="num" w:pos="2121"/>
        </w:tabs>
        <w:ind w:left="2121" w:hanging="283"/>
      </w:pPr>
      <w:rPr/>
    </w:lvl>
    <w:lvl w:ilvl="3">
      <w:start w:val="1"/>
      <w:numFmt w:val="upperRoman"/>
      <w:lvlText w:val="%4."/>
      <w:lvlJc w:val="left"/>
      <w:pPr>
        <w:tabs>
          <w:tab w:val="num" w:pos="2828"/>
        </w:tabs>
        <w:ind w:left="2828" w:hanging="283"/>
      </w:pPr>
      <w:rPr/>
    </w:lvl>
    <w:lvl w:ilvl="4">
      <w:start w:val="1"/>
      <w:numFmt w:val="upperRoman"/>
      <w:lvlText w:val="%5."/>
      <w:lvlJc w:val="left"/>
      <w:pPr>
        <w:tabs>
          <w:tab w:val="num" w:pos="3535"/>
        </w:tabs>
        <w:ind w:left="3535" w:hanging="283"/>
      </w:pPr>
      <w:rPr/>
    </w:lvl>
    <w:lvl w:ilvl="5">
      <w:start w:val="1"/>
      <w:numFmt w:val="upperRoman"/>
      <w:lvlText w:val="%6."/>
      <w:lvlJc w:val="left"/>
      <w:pPr>
        <w:tabs>
          <w:tab w:val="num" w:pos="4242"/>
        </w:tabs>
        <w:ind w:left="4242" w:hanging="283"/>
      </w:pPr>
      <w:rPr/>
    </w:lvl>
    <w:lvl w:ilvl="6">
      <w:start w:val="1"/>
      <w:numFmt w:val="upperRoman"/>
      <w:lvlText w:val="%7."/>
      <w:lvlJc w:val="left"/>
      <w:pPr>
        <w:tabs>
          <w:tab w:val="num" w:pos="4949"/>
        </w:tabs>
        <w:ind w:left="4949" w:hanging="283"/>
      </w:pPr>
      <w:rPr/>
    </w:lvl>
    <w:lvl w:ilvl="7">
      <w:start w:val="1"/>
      <w:numFmt w:val="upperRoman"/>
      <w:lvlText w:val="%8."/>
      <w:lvlJc w:val="left"/>
      <w:pPr>
        <w:tabs>
          <w:tab w:val="num" w:pos="5656"/>
        </w:tabs>
        <w:ind w:left="5656" w:hanging="283"/>
      </w:pPr>
      <w:rPr/>
    </w:lvl>
    <w:lvl w:ilvl="8">
      <w:start w:val="1"/>
      <w:numFmt w:val="upperRoman"/>
      <w:lvlText w:val="%9."/>
      <w:lvlJc w:val="left"/>
      <w:pPr>
        <w:tabs>
          <w:tab w:val="num" w:pos="6363"/>
        </w:tabs>
        <w:ind w:left="6363" w:hanging="283"/>
      </w:pPr>
      <w:rPr/>
    </w:lvl>
  </w:abstractNum>
  <w:abstractNum w:abstractNumId="4">
    <w:lvl w:ilvl="0">
      <w:start w:val="1"/>
      <w:numFmt w:val="upperRoman"/>
      <w:lvlText w:val="%1."/>
      <w:lvlJc w:val="left"/>
      <w:pPr>
        <w:ind w:left="0" w:hanging="283"/>
      </w:pPr>
      <w:rPr/>
    </w:lvl>
    <w:lvl w:ilvl="1">
      <w:start w:val="1"/>
      <w:numFmt w:val="upperRoman"/>
      <w:lvlText w:val="%2."/>
      <w:lvlJc w:val="left"/>
      <w:pPr>
        <w:tabs>
          <w:tab w:val="num" w:pos="1414"/>
        </w:tabs>
        <w:ind w:left="1414" w:hanging="283"/>
      </w:pPr>
      <w:rPr/>
    </w:lvl>
    <w:lvl w:ilvl="2">
      <w:start w:val="1"/>
      <w:numFmt w:val="upperRoman"/>
      <w:lvlText w:val="%3."/>
      <w:lvlJc w:val="left"/>
      <w:pPr>
        <w:tabs>
          <w:tab w:val="num" w:pos="2121"/>
        </w:tabs>
        <w:ind w:left="2121" w:hanging="283"/>
      </w:pPr>
      <w:rPr/>
    </w:lvl>
    <w:lvl w:ilvl="3">
      <w:start w:val="1"/>
      <w:numFmt w:val="upperRoman"/>
      <w:lvlText w:val="%4."/>
      <w:lvlJc w:val="left"/>
      <w:pPr>
        <w:tabs>
          <w:tab w:val="num" w:pos="2828"/>
        </w:tabs>
        <w:ind w:left="2828" w:hanging="283"/>
      </w:pPr>
      <w:rPr/>
    </w:lvl>
    <w:lvl w:ilvl="4">
      <w:start w:val="1"/>
      <w:numFmt w:val="upperRoman"/>
      <w:lvlText w:val="%5."/>
      <w:lvlJc w:val="left"/>
      <w:pPr>
        <w:tabs>
          <w:tab w:val="num" w:pos="3535"/>
        </w:tabs>
        <w:ind w:left="3535" w:hanging="283"/>
      </w:pPr>
      <w:rPr/>
    </w:lvl>
    <w:lvl w:ilvl="5">
      <w:start w:val="1"/>
      <w:numFmt w:val="upperRoman"/>
      <w:lvlText w:val="%6."/>
      <w:lvlJc w:val="left"/>
      <w:pPr>
        <w:tabs>
          <w:tab w:val="num" w:pos="4242"/>
        </w:tabs>
        <w:ind w:left="4242" w:hanging="283"/>
      </w:pPr>
      <w:rPr/>
    </w:lvl>
    <w:lvl w:ilvl="6">
      <w:start w:val="1"/>
      <w:numFmt w:val="upperRoman"/>
      <w:lvlText w:val="%7."/>
      <w:lvlJc w:val="left"/>
      <w:pPr>
        <w:tabs>
          <w:tab w:val="num" w:pos="4949"/>
        </w:tabs>
        <w:ind w:left="4949" w:hanging="283"/>
      </w:pPr>
      <w:rPr/>
    </w:lvl>
    <w:lvl w:ilvl="7">
      <w:start w:val="1"/>
      <w:numFmt w:val="upperRoman"/>
      <w:lvlText w:val="%8."/>
      <w:lvlJc w:val="left"/>
      <w:pPr>
        <w:tabs>
          <w:tab w:val="num" w:pos="5656"/>
        </w:tabs>
        <w:ind w:left="5656" w:hanging="283"/>
      </w:pPr>
      <w:rPr/>
    </w:lvl>
    <w:lvl w:ilvl="8">
      <w:start w:val="1"/>
      <w:numFmt w:val="upperRoman"/>
      <w:lvlText w:val="%9."/>
      <w:lvlJc w:val="left"/>
      <w:pPr>
        <w:tabs>
          <w:tab w:val="num" w:pos="6363"/>
        </w:tabs>
        <w:ind w:left="6363" w:hanging="283"/>
      </w:pPr>
      <w:rPr/>
    </w:lvl>
  </w:abstractNum>
  <w:abstractNum w:abstractNumId="5">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6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IE"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IE" w:eastAsia="zh-CN" w:bidi="hi-IN"/>
    </w:rPr>
  </w:style>
  <w:style w:type="paragraph" w:styleId="Heading1">
    <w:name w:val="Heading 1"/>
    <w:basedOn w:val="Heading"/>
    <w:next w:val="TextBody"/>
    <w:qFormat/>
    <w:pPr>
      <w:spacing w:before="240" w:after="120"/>
      <w:outlineLvl w:val="0"/>
    </w:pPr>
    <w:rPr>
      <w:rFonts w:ascii="Liberation Serif" w:hAnsi="Liberation Serif" w:eastAsia="SimSun" w:cs="Arial"/>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LibreOffice/5.4.1.2$Windows_X86_64 LibreOffice_project/ea7cb86e6eeb2bf3a5af73a8f7777ac570321527</Application>
  <Pages>2</Pages>
  <Words>561</Words>
  <Characters>2973</Characters>
  <CharactersWithSpaces>3501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2017-12-19T12:21:40Z</dcterms:created>
  <dc:creator/>
  <dc:description/>
  <dc:language>en-IE</dc:language>
  <cp:lastModifiedBy/>
  <dcterms:modified xsi:type="dcterms:W3CDTF">2017-12-19T12:22:20Z</dcterms:modified>
  <cp:revision>1</cp:revision>
  <dc:subject/>
  <dc:title/>
</cp:coreProperties>
</file>